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Helvetica-Bold" w:hAnsi="Helvetica-Bold" w:cs="Helvetica-Bold"/>
          <w:b/>
          <w:b/>
          <w:bCs/>
          <w:sz w:val="20"/>
          <w:szCs w:val="20"/>
        </w:rPr>
      </w:pPr>
      <w:r>
        <w:rPr/>
        <w:drawing>
          <wp:inline distT="0" distB="0" distL="0" distR="0">
            <wp:extent cx="886460" cy="886460"/>
            <wp:effectExtent l="0" t="0" r="0" b="0"/>
            <wp:docPr id="1" name="Picture 4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73" descr=""/>
                    <pic:cNvPicPr>
                      <a:picLocks noChangeAspect="1" noChangeArrowheads="1"/>
                    </pic:cNvPicPr>
                  </pic:nvPicPr>
                  <pic:blipFill>
                    <a:blip r:embed="rId2"/>
                    <a:stretch>
                      <a:fillRect/>
                    </a:stretch>
                  </pic:blipFill>
                  <pic:spPr bwMode="auto">
                    <a:xfrm>
                      <a:off x="0" y="0"/>
                      <a:ext cx="886460" cy="886460"/>
                    </a:xfrm>
                    <a:prstGeom prst="rect">
                      <a:avLst/>
                    </a:prstGeom>
                  </pic:spPr>
                </pic:pic>
              </a:graphicData>
            </a:graphic>
          </wp:inline>
        </w:drawing>
      </w:r>
    </w:p>
    <w:p>
      <w:pPr>
        <w:pStyle w:val="Normal"/>
        <w:spacing w:lineRule="auto" w:line="240" w:before="0" w:after="0"/>
        <w:rPr>
          <w:rFonts w:ascii="Helvetica-Bold" w:hAnsi="Helvetica-Bold" w:cs="Helvetica-Bold"/>
          <w:b/>
          <w:b/>
          <w:bCs/>
          <w:sz w:val="20"/>
          <w:szCs w:val="20"/>
        </w:rPr>
      </w:pPr>
      <w:r>
        <w:rPr>
          <w:rFonts w:cs="Helvetica-Bold" w:ascii="Helvetica-Bold" w:hAnsi="Helvetica-Bold"/>
          <w:b/>
          <w:bCs/>
          <w:sz w:val="20"/>
          <w:szCs w:val="20"/>
        </w:rPr>
      </w:r>
    </w:p>
    <w:p>
      <w:pPr>
        <w:pStyle w:val="Normal"/>
        <w:spacing w:lineRule="auto" w:line="240" w:before="0" w:after="0"/>
        <w:rPr>
          <w:rFonts w:ascii="Helvetica-Bold" w:hAnsi="Helvetica-Bold" w:cs="Helvetica-Bold"/>
          <w:b/>
          <w:b/>
          <w:bCs/>
          <w:sz w:val="20"/>
          <w:szCs w:val="20"/>
        </w:rPr>
      </w:pPr>
      <w:r>
        <w:rPr>
          <w:rFonts w:cs="Helvetica-Bold" w:ascii="Helvetica-Bold" w:hAnsi="Helvetica-Bold"/>
          <w:b/>
          <w:bCs/>
          <w:sz w:val="20"/>
          <w:szCs w:val="20"/>
        </w:rPr>
      </w:r>
    </w:p>
    <w:p>
      <w:pPr>
        <w:pStyle w:val="Normal"/>
        <w:spacing w:lineRule="auto" w:line="240" w:before="0" w:after="0"/>
        <w:rPr>
          <w:rFonts w:ascii="Helvetica-Bold" w:hAnsi="Helvetica-Bold" w:cs="Helvetica-Bold"/>
          <w:b/>
          <w:b/>
          <w:bCs/>
          <w:sz w:val="20"/>
          <w:szCs w:val="20"/>
        </w:rPr>
      </w:pPr>
      <w:r>
        <w:rPr>
          <w:rFonts w:cs="Helvetica-Bold" w:ascii="Helvetica-Bold" w:hAnsi="Helvetica-Bold"/>
          <w:b/>
          <w:bCs/>
          <w:sz w:val="20"/>
          <w:szCs w:val="20"/>
        </w:rPr>
      </w:r>
    </w:p>
    <w:p>
      <w:pPr>
        <w:pStyle w:val="Normal"/>
        <w:spacing w:lineRule="auto" w:line="240" w:before="0" w:after="0"/>
        <w:rPr>
          <w:rFonts w:ascii="Helvetica-Bold" w:hAnsi="Helvetica-Bold" w:cs="Helvetica-Bold"/>
          <w:b/>
          <w:b/>
          <w:bCs/>
          <w:sz w:val="20"/>
          <w:szCs w:val="20"/>
        </w:rPr>
      </w:pPr>
      <w:r>
        <w:rPr>
          <w:rFonts w:cs="Helvetica-Bold" w:ascii="Helvetica-Bold" w:hAnsi="Helvetica-Bold"/>
          <w:b/>
          <w:bCs/>
          <w:sz w:val="20"/>
          <w:szCs w:val="20"/>
        </w:rPr>
      </w:r>
    </w:p>
    <w:p>
      <w:pPr>
        <w:pStyle w:val="Normal"/>
        <w:spacing w:lineRule="auto" w:line="240" w:before="0" w:after="0"/>
        <w:rPr>
          <w:rFonts w:ascii="Helvetica-Bold" w:hAnsi="Helvetica-Bold" w:cs="Helvetica-Bold"/>
          <w:b/>
          <w:b/>
          <w:bCs/>
          <w:sz w:val="20"/>
          <w:szCs w:val="20"/>
        </w:rPr>
      </w:pPr>
      <w:r>
        <w:rPr>
          <w:rFonts w:cs="Helvetica-Bold" w:ascii="Helvetica-Bold" w:hAnsi="Helvetica-Bold"/>
          <w:b/>
          <w:bCs/>
          <w:sz w:val="20"/>
          <w:szCs w:val="20"/>
        </w:rPr>
      </w:r>
    </w:p>
    <w:p>
      <w:pPr>
        <w:pStyle w:val="Normal"/>
        <w:spacing w:lineRule="auto" w:line="240" w:before="0" w:after="0"/>
        <w:rPr>
          <w:rFonts w:ascii="Times New Roman" w:hAnsi="Times New Roman" w:cs="Times New Roman"/>
          <w:b/>
          <w:b/>
          <w:bCs/>
        </w:rPr>
      </w:pPr>
      <w:r>
        <w:rPr>
          <w:rFonts w:cs="Times New Roman" w:ascii="Times New Roman" w:hAnsi="Times New Roman"/>
          <w:b/>
          <w:bCs/>
        </w:rPr>
        <w:t>Oggetto: Determina a contrarre con impegno di spesa, mediante affidamento diretto fuori Mepa, per</w:t>
      </w:r>
    </w:p>
    <w:p>
      <w:pPr>
        <w:pStyle w:val="Normal"/>
        <w:spacing w:lineRule="auto" w:line="240" w:before="0" w:after="0"/>
        <w:rPr>
          <w:rFonts w:ascii="Times New Roman" w:hAnsi="Times New Roman" w:cs="Times New Roman"/>
          <w:b/>
          <w:b/>
          <w:bCs/>
        </w:rPr>
      </w:pPr>
      <w:r>
        <w:rPr>
          <w:rFonts w:cs="Times New Roman" w:ascii="Times New Roman" w:hAnsi="Times New Roman"/>
          <w:b/>
          <w:bCs/>
        </w:rPr>
        <w:t xml:space="preserve">la fornitura di servizi Cloud  </w:t>
      </w:r>
      <w:r>
        <w:rPr>
          <w:rFonts w:eastAsia="Calibri" w:cs="Times New Roman" w:ascii="Times New Roman" w:hAnsi="Times New Roman"/>
          <w:b/>
          <w:bCs/>
          <w:i/>
          <w:iCs/>
        </w:rPr>
        <w:t xml:space="preserve">investimento 1.2 “ABILITAZIONE AL CLOUD PER LE PA LOCALI </w:t>
      </w:r>
      <w:r>
        <w:rPr>
          <w:rFonts w:eastAsia="Calibri" w:cs="Times New Roman" w:ascii="Times New Roman" w:hAnsi="Times New Roman"/>
          <w:b/>
          <w:bCs/>
        </w:rPr>
        <w:t xml:space="preserve">per un importo contrattuale pari a € </w:t>
      </w:r>
      <w:r>
        <w:rPr>
          <w:rFonts w:eastAsia="Calibri" w:cs="Times New Roman" w:ascii="Times New Roman" w:hAnsi="Times New Roman"/>
          <w:b/>
          <w:bCs/>
          <w:shd w:fill="auto" w:val="clear"/>
        </w:rPr>
        <w:t>[</w:t>
      </w:r>
      <w:r>
        <w:rPr>
          <w:rFonts w:eastAsia="Calibri" w:cs="Times New Roman" w:ascii="Times New Roman" w:hAnsi="Times New Roman"/>
          <w:b/>
          <w:bCs/>
          <w:shd w:fill="auto" w:val="clear"/>
        </w:rPr>
        <w:t>430,00</w:t>
      </w:r>
      <w:r>
        <w:rPr>
          <w:rFonts w:eastAsia="Calibri" w:cs="Times New Roman" w:ascii="Times New Roman" w:hAnsi="Times New Roman"/>
          <w:b/>
          <w:bCs/>
          <w:shd w:fill="auto" w:val="clear"/>
        </w:rPr>
        <w:t>]</w:t>
      </w:r>
      <w:r>
        <w:rPr>
          <w:rFonts w:eastAsia="Calibri" w:cs="Times New Roman" w:ascii="Times New Roman" w:hAnsi="Times New Roman"/>
          <w:b/>
          <w:bCs/>
        </w:rPr>
        <w:t xml:space="preserve"> (IVA esclusa), </w:t>
      </w:r>
      <w:r>
        <w:rPr>
          <w:rFonts w:eastAsia="Calibri" w:cs="Times New Roman" w:ascii="Times New Roman" w:hAnsi="Times New Roman"/>
          <w:b/>
          <w:bCs/>
          <w:shd w:fill="auto" w:val="clear"/>
        </w:rPr>
        <w:t xml:space="preserve">CIG: […], </w:t>
      </w:r>
      <w:r>
        <w:rPr>
          <w:rFonts w:cs="Times New Roman" w:ascii="Times New Roman" w:hAnsi="Times New Roman"/>
          <w:b/>
          <w:shd w:fill="auto" w:val="clear"/>
        </w:rPr>
        <w:t>CUP: […]</w:t>
      </w:r>
    </w:p>
    <w:p>
      <w:pPr>
        <w:pStyle w:val="Normal"/>
        <w:spacing w:lineRule="auto" w:line="240" w:before="0" w:after="0"/>
        <w:rPr>
          <w:rFonts w:ascii="Times New Roman" w:hAnsi="Times New Roman" w:cs="Times New Roman"/>
          <w:b/>
          <w:b/>
          <w:bCs/>
        </w:rPr>
      </w:pPr>
      <w:r>
        <w:rPr>
          <w:rFonts w:cs="Times New Roman" w:ascii="Times New Roman" w:hAnsi="Times New Roman"/>
          <w:b/>
          <w:bCs/>
        </w:rPr>
      </w:r>
    </w:p>
    <w:p>
      <w:pPr>
        <w:pStyle w:val="Normal"/>
        <w:spacing w:lineRule="auto" w:line="240" w:before="0" w:after="0"/>
        <w:jc w:val="center"/>
        <w:rPr>
          <w:rFonts w:ascii="Times New Roman" w:hAnsi="Times New Roman" w:cs="Times New Roman"/>
          <w:b/>
          <w:b/>
          <w:bCs/>
        </w:rPr>
      </w:pPr>
      <w:r>
        <w:rPr>
          <w:rFonts w:cs="Times New Roman" w:ascii="Times New Roman" w:hAnsi="Times New Roman"/>
          <w:b/>
          <w:bCs/>
        </w:rPr>
        <w:t>Il Dirigente Scolastico</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b/>
          <w:bCs/>
        </w:rPr>
        <w:t>Visto</w:t>
      </w:r>
      <w:r>
        <w:rPr>
          <w:rFonts w:cs="Times New Roman" w:ascii="Times New Roman" w:hAnsi="Times New Roman"/>
        </w:rPr>
        <w:t xml:space="preserve"> ………</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b/>
          <w:bCs/>
        </w:rPr>
        <w:t>Visto</w:t>
      </w:r>
      <w:r>
        <w:rPr>
          <w:rFonts w:cs="Times New Roman" w:ascii="Times New Roman" w:hAnsi="Times New Roman"/>
        </w:rPr>
        <w:t xml:space="preserve"> ……...</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pPr>
      <w:r>
        <w:rPr>
          <w:rFonts w:cs="Times New Roman" w:ascii="Times New Roman" w:hAnsi="Times New Roman"/>
          <w:b/>
        </w:rPr>
        <w:t>VISTE</w:t>
      </w:r>
      <w:r>
        <w:rPr>
          <w:rFonts w:cs="Times New Roman" w:ascii="Times New Roman" w:hAnsi="Times New Roman"/>
        </w:rPr>
        <w:t xml:space="preserve"> le scadenze indicate nell’ </w:t>
      </w:r>
      <w:r>
        <w:rPr>
          <w:rFonts w:cs="Times New Roman" w:ascii="Times New Roman" w:hAnsi="Times New Roman"/>
          <w:color w:val="000000"/>
        </w:rPr>
        <w:t xml:space="preserve">Allegato 2 </w:t>
      </w:r>
      <w:r>
        <w:rPr>
          <w:rFonts w:cs="Times New Roman" w:ascii="Times New Roman" w:hAnsi="Times New Roman"/>
        </w:rPr>
        <w:t>dell’Investimento 1.2 - Abilitazione e facilitazione migrazione al Cloud per le PA Locali.</w:t>
      </w:r>
      <w:r>
        <w:rPr>
          <w:rFonts w:cs="Times New Roman" w:ascii="Times New Roman" w:hAnsi="Times New Roman"/>
          <w:color w:val="000000"/>
        </w:rPr>
        <w:t xml:space="preserve"> – Definizione dei Servizi e modalità di migrazione</w:t>
      </w:r>
      <w:r>
        <w:rPr>
          <w:rFonts w:cs="Times New Roman" w:ascii="Times New Roman" w:hAnsi="Times New Roman"/>
          <w:i/>
          <w:color w:val="000000"/>
        </w:rPr>
        <w:t xml:space="preserve"> (Per le Scuole il tempo massimo entro cui concludere tutte le migrazioni indicate nel piano di migrazione, qualsiasi sia la modalità, è di 18 mesi dalla data di attivazione del contratto con il fornitore. Il contratto con il fornitore deve essere attivato entro 6 mesi dalla notifica del decreto di Finanziamento);</w:t>
      </w:r>
    </w:p>
    <w:p>
      <w:pPr>
        <w:pStyle w:val="Normal"/>
        <w:spacing w:lineRule="auto" w:line="240" w:before="0" w:after="0"/>
        <w:rPr>
          <w:rFonts w:ascii="Times New Roman" w:hAnsi="Times New Roman" w:cs="Times New Roman"/>
          <w:color w:val="000000"/>
        </w:rPr>
      </w:pPr>
      <w:r>
        <w:rPr>
          <w:rFonts w:cs="Times New Roman" w:ascii="Times New Roman" w:hAnsi="Times New Roman"/>
          <w:color w:val="000000"/>
        </w:rPr>
      </w:r>
    </w:p>
    <w:p>
      <w:pPr>
        <w:pStyle w:val="Normal"/>
        <w:spacing w:lineRule="auto" w:line="240" w:before="0" w:after="0"/>
        <w:rPr/>
      </w:pPr>
      <w:r>
        <w:rPr>
          <w:rFonts w:cs="Times New Roman" w:ascii="Times New Roman" w:hAnsi="Times New Roman"/>
          <w:b/>
        </w:rPr>
        <w:t>RAVVISATO</w:t>
      </w:r>
      <w:r>
        <w:rPr>
          <w:rFonts w:cs="Times New Roman" w:ascii="Times New Roman" w:hAnsi="Times New Roman"/>
        </w:rPr>
        <w:t xml:space="preserve"> il carattere di urgenza di individuare il fornitore, nel pieno rispetto del cronoprogramma relativo l’“Investimento 1.2. - Migrazione al Cloud per le PA Locali -Scuole - Missione 1 Componente 1 del PNRR, finanziato dall’Unione europea nel contesto dell’iniziativa NextGenerationEU.</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b/>
        </w:rPr>
        <w:t>CONSIDERATO</w:t>
      </w:r>
      <w:r>
        <w:rPr>
          <w:rFonts w:cs="Times New Roman" w:ascii="Times New Roman" w:hAnsi="Times New Roman"/>
        </w:rPr>
        <w:t xml:space="preserve"> l’utilizzo in questa istituzione scolastica di Software Argo per l’espletamento delle attività amministrative/contabili e adempimenti fiscali;</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b/>
        </w:rPr>
        <w:t xml:space="preserve">CONSIDERATO </w:t>
      </w:r>
      <w:r>
        <w:rPr>
          <w:rFonts w:cs="Times New Roman" w:ascii="Times New Roman" w:hAnsi="Times New Roman"/>
        </w:rPr>
        <w:t xml:space="preserve"> che la Concessionaria Argo </w:t>
      </w:r>
      <w:r>
        <w:rPr>
          <w:rFonts w:cs="Times New Roman" w:ascii="Times New Roman" w:hAnsi="Times New Roman"/>
        </w:rPr>
        <w:t>BRUNO SANSO SRL</w:t>
      </w:r>
      <w:r>
        <w:rPr>
          <w:rFonts w:cs="Times New Roman" w:ascii="Times New Roman" w:hAnsi="Times New Roman"/>
        </w:rPr>
        <w:t xml:space="preserve"> già fornitrice analoghi servizi, possiede i requisiti di: </w:t>
      </w:r>
    </w:p>
    <w:p>
      <w:pPr>
        <w:pStyle w:val="Normal"/>
        <w:spacing w:lineRule="auto" w:line="240" w:before="0" w:after="0"/>
        <w:rPr>
          <w:rFonts w:ascii="Times New Roman" w:hAnsi="Times New Roman" w:cs="Times New Roman"/>
        </w:rPr>
      </w:pPr>
      <w:r>
        <w:rPr>
          <w:rFonts w:cs="Times New Roman" w:ascii="Times New Roman" w:hAnsi="Times New Roman"/>
        </w:rPr>
        <w:t xml:space="preserve">- ordine generale (Art. 80, del D.lgs 50/2016); </w:t>
      </w:r>
    </w:p>
    <w:p>
      <w:pPr>
        <w:pStyle w:val="Normal"/>
        <w:spacing w:lineRule="auto" w:line="240" w:before="0" w:after="0"/>
        <w:rPr>
          <w:rFonts w:ascii="Times New Roman" w:hAnsi="Times New Roman" w:cs="Times New Roman"/>
        </w:rPr>
      </w:pPr>
      <w:r>
        <w:rPr>
          <w:rFonts w:cs="Times New Roman" w:ascii="Times New Roman" w:hAnsi="Times New Roman"/>
        </w:rPr>
        <w:t xml:space="preserve">- idoneità professionale (Art. 83, c. 1, lett. a, del D.lgs 50/2016); </w:t>
      </w:r>
    </w:p>
    <w:p>
      <w:pPr>
        <w:pStyle w:val="Normal"/>
        <w:spacing w:lineRule="auto" w:line="240" w:before="0" w:after="0"/>
        <w:rPr>
          <w:rFonts w:ascii="Times New Roman" w:hAnsi="Times New Roman" w:cs="Times New Roman"/>
        </w:rPr>
      </w:pPr>
      <w:r>
        <w:rPr>
          <w:rFonts w:cs="Times New Roman" w:ascii="Times New Roman" w:hAnsi="Times New Roman"/>
        </w:rPr>
        <w:t xml:space="preserve">- capacità economica e finanziaria (Art. 83, c. 1, lett. b, del D.lgs 50/2016); </w:t>
      </w:r>
    </w:p>
    <w:p>
      <w:pPr>
        <w:pStyle w:val="Normal"/>
        <w:spacing w:lineRule="auto" w:line="240" w:before="0" w:after="0"/>
        <w:rPr>
          <w:rFonts w:ascii="Times New Roman" w:hAnsi="Times New Roman" w:cs="Times New Roman"/>
        </w:rPr>
      </w:pPr>
      <w:r>
        <w:rPr>
          <w:rFonts w:cs="Times New Roman" w:ascii="Times New Roman" w:hAnsi="Times New Roman"/>
        </w:rPr>
        <w:t>- capacità tecniche e professionali (Art. 83, c. 1, lett. c, del D.lgs 50/2016);</w:t>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jc w:val="both"/>
        <w:rPr/>
      </w:pPr>
      <w:r>
        <w:rPr>
          <w:rFonts w:cs="Times New Roman" w:ascii="Times New Roman" w:hAnsi="Times New Roman"/>
          <w:b/>
          <w:bCs/>
        </w:rPr>
        <w:t xml:space="preserve">RITENUTO </w:t>
      </w:r>
      <w:r>
        <w:rPr>
          <w:rFonts w:cs="Times New Roman" w:ascii="Times New Roman" w:hAnsi="Times New Roman"/>
        </w:rPr>
        <w:t xml:space="preserve">che, in considerazione del modico valore del contratto, in osservanza delle linee guida,  in conformità ai principi di efficienza procedimentale, economicità, efficacia, tempestività, correttezza, proporzionalità, di cui all’art. 30, comma 1 del citato D.lgs 50/2016 e ss.mm., si possa procedere ad un affidamento diretto  (Si veda </w:t>
      </w:r>
      <w:r>
        <w:rPr>
          <w:rFonts w:cs="Times New Roman" w:ascii="Times New Roman" w:hAnsi="Times New Roman"/>
          <w:i/>
          <w:iCs/>
        </w:rPr>
        <w:t xml:space="preserve">&lt;&lt;l’art. 1, comma 450 della Legge 296/2006, come modificato più volte e da ultimo dall'art. 1, comma 130 della Legge di Bilancio 2019, Legge 30 dicembre 2018, n. 145, stabilisce che le amministrazioni pubbliche di cui all'articolo 1 del decreto legislativo 30 marzo 2001, n. 165, “per gli acquisti di beni e servizi di importo </w:t>
      </w:r>
      <w:r>
        <w:rPr>
          <w:rFonts w:cs="Times New Roman" w:ascii="Times New Roman" w:hAnsi="Times New Roman"/>
          <w:bCs/>
          <w:i/>
          <w:iCs/>
        </w:rPr>
        <w:t xml:space="preserve">pari o superiore a 5.000,00 euro e </w:t>
      </w:r>
      <w:r>
        <w:rPr>
          <w:rFonts w:cs="Times New Roman" w:ascii="Times New Roman" w:hAnsi="Times New Roman"/>
          <w:i/>
          <w:iCs/>
        </w:rPr>
        <w:t>inferiore alla soglia di rilievo comunitario sono tenute a fare ricorso al mercato elettronico della pubblica amministrazione ovvero ad altri mercati elettronici istituiti ai sensi del medesimo articolo 328 ovvero al sistema telematico messo a disposizione dalla centrale regionale di riferimento per lo svolgimento delle relative procedure”, introducendo una deroga per gli acquisti di beni e servizi di importo inferiore a 5.000,00 euro per i quali non sussiste più il suddetto obbligo&gt;</w:t>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pPr>
      <w:r>
        <w:rPr>
          <w:rFonts w:cs="Times New Roman" w:ascii="Times New Roman" w:hAnsi="Times New Roman"/>
          <w:b/>
        </w:rPr>
        <w:t>TENUTO CONTO</w:t>
      </w:r>
      <w:r>
        <w:rPr>
          <w:rFonts w:cs="Times New Roman" w:ascii="Times New Roman" w:hAnsi="Times New Roman"/>
        </w:rPr>
        <w:t xml:space="preserve">  he la Stazione Appaltante, prima della fornitura, svolgerà le verifiche volte ad accertare il possesso, da parte della Argo Software, dei requisiti di ordine generale </w:t>
      </w:r>
      <w:r>
        <w:rPr>
          <w:rFonts w:cs="Times New Roman" w:ascii="Times New Roman" w:hAnsi="Times New Roman"/>
          <w:i/>
        </w:rPr>
        <w:t>(verifica dei requisiti ambientali DNSH (Do No Significant Harm) del CSP, dei fornitori ICT nell’ambito dell’attuazione del PNRR, verifica ed attestazione della destinazione cloud qualificata, riferimento al Marketplace (URL) del servizio);</w:t>
      </w:r>
    </w:p>
    <w:p>
      <w:pPr>
        <w:pStyle w:val="Normal"/>
        <w:spacing w:lineRule="auto" w:line="240" w:before="0" w:after="0"/>
        <w:jc w:val="both"/>
        <w:rPr>
          <w:rFonts w:ascii="Times New Roman" w:hAnsi="Times New Roman" w:cs="Times New Roman"/>
          <w:i/>
          <w:i/>
        </w:rPr>
      </w:pPr>
      <w:r>
        <w:rPr>
          <w:rFonts w:cs="Times New Roman" w:ascii="Times New Roman" w:hAnsi="Times New Roman"/>
          <w:i/>
        </w:rPr>
      </w:r>
    </w:p>
    <w:p>
      <w:pPr>
        <w:pStyle w:val="Normal"/>
        <w:spacing w:lineRule="auto" w:line="240" w:before="0" w:after="0"/>
        <w:jc w:val="both"/>
        <w:rPr>
          <w:rFonts w:ascii="Times New Roman" w:hAnsi="Times New Roman" w:cs="Times New Roman"/>
          <w:i/>
          <w:i/>
        </w:rPr>
      </w:pPr>
      <w:r>
        <w:rPr>
          <w:rFonts w:cs="Times New Roman" w:ascii="Times New Roman" w:hAnsi="Times New Roman"/>
          <w:i/>
        </w:rPr>
      </w:r>
    </w:p>
    <w:p>
      <w:pPr>
        <w:pStyle w:val="Normal"/>
        <w:jc w:val="center"/>
        <w:rPr>
          <w:rFonts w:ascii="Times New Roman" w:hAnsi="Times New Roman" w:cs="Times New Roman"/>
          <w:b/>
          <w:b/>
          <w:bCs/>
        </w:rPr>
      </w:pPr>
      <w:r>
        <w:rPr>
          <w:rFonts w:cs="Times New Roman" w:ascii="Times New Roman" w:hAnsi="Times New Roman"/>
          <w:b/>
          <w:bCs/>
        </w:rPr>
        <w:t>DETERMINA</w:t>
      </w:r>
    </w:p>
    <w:p>
      <w:pPr>
        <w:pStyle w:val="Normal"/>
        <w:jc w:val="both"/>
        <w:rPr/>
      </w:pPr>
      <w:r>
        <w:rPr>
          <w:rFonts w:eastAsia="Times New Roman" w:cs="Times New Roman" w:ascii="Times New Roman" w:hAnsi="Times New Roman"/>
          <w:lang w:eastAsia="zh-CN"/>
        </w:rPr>
        <w:t>Per i motivi espressi nella premessa, che si intendono integralmente richiamati:</w:t>
      </w:r>
    </w:p>
    <w:p>
      <w:pPr>
        <w:pStyle w:val="ListParagraph"/>
        <w:numPr>
          <w:ilvl w:val="0"/>
          <w:numId w:val="1"/>
        </w:numPr>
        <w:spacing w:before="120" w:after="120"/>
        <w:ind w:left="851" w:hanging="425"/>
        <w:contextualSpacing w:val="false"/>
        <w:jc w:val="both"/>
        <w:rPr/>
      </w:pPr>
      <w:r>
        <w:rPr>
          <w:rFonts w:cs="Times New Roman" w:ascii="Times New Roman" w:hAnsi="Times New Roman"/>
          <w:bCs/>
        </w:rPr>
        <w:t xml:space="preserve">di autorizzare, ai sensi dell’art. 1, comma 2, lettera a), del D.L. 76/2020, come modificato dal D.L. n. 77/2021, convertito nella Legge n. 108/2021, l’affidamento diretto dei servizi: </w:t>
      </w:r>
    </w:p>
    <w:p>
      <w:pPr>
        <w:pStyle w:val="ListParagraph"/>
        <w:spacing w:before="120" w:after="120"/>
        <w:ind w:left="851" w:hanging="0"/>
        <w:contextualSpacing w:val="false"/>
        <w:jc w:val="both"/>
        <w:rPr/>
      </w:pPr>
      <w:r>
        <w:rPr>
          <w:rFonts w:cs="Times New Roman" w:ascii="Times New Roman" w:hAnsi="Times New Roman"/>
          <w:bCs/>
          <w:shd w:fill="auto" w:val="clear"/>
        </w:rPr>
        <w:t>Emolumenti web;</w:t>
      </w:r>
      <w:r>
        <w:rPr>
          <w:rFonts w:cs="Times New Roman" w:ascii="Times New Roman" w:hAnsi="Times New Roman"/>
          <w:bCs/>
          <w:highlight w:val="yellow"/>
        </w:rPr>
        <w:t xml:space="preserve">  </w:t>
      </w:r>
    </w:p>
    <w:p>
      <w:pPr>
        <w:pStyle w:val="ListParagraph"/>
        <w:spacing w:before="120" w:after="120"/>
        <w:ind w:left="851" w:hanging="0"/>
        <w:contextualSpacing w:val="false"/>
        <w:jc w:val="both"/>
        <w:rPr/>
      </w:pPr>
      <w:bookmarkStart w:id="0" w:name="_GoBack"/>
      <w:bookmarkEnd w:id="0"/>
      <w:r>
        <w:rPr>
          <w:rFonts w:cs="Times New Roman" w:ascii="Times New Roman" w:hAnsi="Times New Roman"/>
          <w:bCs/>
        </w:rPr>
        <w:t xml:space="preserve">all’operatore economico </w:t>
      </w:r>
      <w:r>
        <w:rPr>
          <w:rFonts w:cs="Times New Roman" w:ascii="Times New Roman" w:hAnsi="Times New Roman"/>
          <w:bCs/>
        </w:rPr>
        <w:t>BRUNO SANSO SRL</w:t>
      </w:r>
      <w:r>
        <w:rPr>
          <w:rFonts w:cs="Times New Roman" w:ascii="Times New Roman" w:hAnsi="Times New Roman"/>
          <w:bCs/>
        </w:rPr>
        <w:t xml:space="preserve">, per un importo complessivo delle prestazioni pari ad € </w:t>
      </w:r>
      <w:r>
        <w:rPr>
          <w:rFonts w:eastAsia="Calibri" w:cs="Times New Roman" w:ascii="Times New Roman" w:hAnsi="Times New Roman"/>
          <w:bCs/>
        </w:rPr>
        <w:t>430,00</w:t>
      </w:r>
      <w:r>
        <w:rPr>
          <w:rFonts w:cs="Times New Roman" w:ascii="Times New Roman" w:hAnsi="Times New Roman"/>
          <w:bCs/>
        </w:rPr>
        <w:t xml:space="preserve"> IVA esclusa (pari a € </w:t>
      </w:r>
      <w:r>
        <w:rPr>
          <w:rFonts w:eastAsia="Calibri" w:cs="Times New Roman" w:ascii="Times New Roman" w:hAnsi="Times New Roman"/>
          <w:bCs/>
        </w:rPr>
        <w:t>430,00</w:t>
      </w:r>
      <w:r>
        <w:rPr>
          <w:rFonts w:eastAsia="Calibri" w:cs="Times New Roman" w:ascii="Times New Roman" w:hAnsi="Times New Roman"/>
          <w:bCs/>
        </w:rPr>
        <w:t xml:space="preserve"> </w:t>
      </w:r>
      <w:r>
        <w:rPr>
          <w:rFonts w:cs="Times New Roman" w:ascii="Times New Roman" w:hAnsi="Times New Roman"/>
          <w:bCs/>
        </w:rPr>
        <w:t xml:space="preserve">+ IVA pari a € </w:t>
      </w:r>
      <w:r>
        <w:rPr>
          <w:rFonts w:cs="Times New Roman" w:ascii="Times New Roman" w:hAnsi="Times New Roman"/>
          <w:bCs/>
        </w:rPr>
        <w:t>524,60</w:t>
      </w:r>
      <w:r>
        <w:rPr>
          <w:rFonts w:eastAsia="Calibri" w:cs="Times New Roman" w:ascii="Times New Roman" w:hAnsi="Times New Roman"/>
          <w:bCs/>
        </w:rPr>
        <w:t>)</w:t>
      </w:r>
      <w:r>
        <w:rPr>
          <w:rFonts w:cs="Times New Roman" w:ascii="Times New Roman" w:hAnsi="Times New Roman"/>
          <w:bCs/>
        </w:rPr>
        <w:t xml:space="preserve">; che si impegna alla fornitura dei servizi e migrazione al cloud entro </w:t>
      </w:r>
      <w:r>
        <w:rPr>
          <w:rFonts w:cs="Times New Roman" w:ascii="Times New Roman" w:hAnsi="Times New Roman"/>
          <w:i/>
          <w:color w:val="000000"/>
        </w:rPr>
        <w:t>18 mesi dalla data della presente</w:t>
      </w:r>
    </w:p>
    <w:p>
      <w:pPr>
        <w:pStyle w:val="Normal"/>
        <w:numPr>
          <w:ilvl w:val="0"/>
          <w:numId w:val="1"/>
        </w:numPr>
        <w:spacing w:lineRule="auto" w:line="240" w:before="120" w:after="0"/>
        <w:ind w:left="851" w:hanging="425"/>
        <w:jc w:val="both"/>
        <w:rPr/>
      </w:pPr>
      <w:r>
        <w:rPr>
          <w:rFonts w:cs="Times New Roman" w:ascii="Times New Roman" w:hAnsi="Times New Roman"/>
          <w:bCs/>
        </w:rPr>
        <w:t>che il presente provvedimento sarà pubblicato sul sito internet dell’Istituzione Scolastica ai sensi della normativa sulla trasparenza.</w:t>
      </w:r>
    </w:p>
    <w:p>
      <w:pPr>
        <w:pStyle w:val="ListParagraph"/>
        <w:numPr>
          <w:ilvl w:val="0"/>
          <w:numId w:val="1"/>
        </w:numPr>
        <w:jc w:val="right"/>
        <w:rPr>
          <w:rFonts w:eastAsia="Times New Roman" w:cs="Calibri" w:cstheme="minorHAnsi"/>
          <w:b/>
          <w:b/>
          <w:bCs/>
          <w:lang w:eastAsia="it-IT"/>
        </w:rPr>
      </w:pPr>
      <w:r>
        <w:rPr>
          <w:rFonts w:eastAsia="Times New Roman" w:cs="Calibri" w:cstheme="minorHAnsi"/>
          <w:b/>
          <w:bCs/>
          <w:lang w:eastAsia="it-IT"/>
        </w:rPr>
        <w:t xml:space="preserve">IL DIRIGENTE SCOLASTICO </w:t>
      </w:r>
    </w:p>
    <w:p>
      <w:pPr>
        <w:pStyle w:val="Normal"/>
        <w:ind w:left="644" w:hanging="0"/>
        <w:rPr>
          <w:rFonts w:eastAsia="Times New Roman" w:cs="Calibri" w:cstheme="minorHAnsi"/>
          <w:b/>
          <w:b/>
          <w:bCs/>
          <w:lang w:eastAsia="it-IT"/>
        </w:rPr>
      </w:pPr>
      <w:r>
        <w:rPr>
          <w:rFonts w:eastAsia="Times New Roman" w:cs="Calibri" w:cstheme="minorHAnsi"/>
          <w:b/>
          <w:bCs/>
          <w:lang w:eastAsia="it-IT"/>
        </w:rPr>
      </w:r>
    </w:p>
    <w:p>
      <w:pPr>
        <w:pStyle w:val="ListParagraph"/>
        <w:ind w:left="1004" w:hanging="0"/>
        <w:rPr/>
      </w:pPr>
      <w:r>
        <w:rPr/>
      </w:r>
    </w:p>
    <w:p>
      <w:pPr>
        <w:pStyle w:val="Normal"/>
        <w:spacing w:lineRule="auto" w:line="240" w:before="120" w:after="0"/>
        <w:jc w:val="both"/>
        <w:rPr>
          <w:rFonts w:ascii="Times New Roman" w:hAnsi="Times New Roman" w:cs="Times New Roman"/>
          <w:bCs/>
        </w:rPr>
      </w:pPr>
      <w:r>
        <w:rPr/>
      </w:r>
    </w:p>
    <w:sectPr>
      <w:type w:val="nextPage"/>
      <w:pgSz w:w="11906" w:h="16838"/>
      <w:pgMar w:left="1134" w:right="1134" w:gutter="0" w:header="0" w:top="1417"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Trebuchet MS">
    <w:charset w:val="00"/>
    <w:family w:val="roman"/>
    <w:pitch w:val="variable"/>
  </w:font>
  <w:font w:name="Helvetica-Bold">
    <w:charset w:val="00"/>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04" w:hanging="360"/>
      </w:pPr>
      <w:rPr>
        <w:rFonts w:ascii="Wingdings" w:hAnsi="Wingdings" w:cs="Wingdings"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BalloonText"/>
    <w:uiPriority w:val="99"/>
    <w:semiHidden/>
    <w:qFormat/>
    <w:rsid w:val="005558b8"/>
    <w:rPr>
      <w:rFonts w:ascii="Tahoma" w:hAnsi="Tahoma" w:cs="Tahoma"/>
      <w:sz w:val="16"/>
      <w:szCs w:val="16"/>
    </w:rPr>
  </w:style>
  <w:style w:type="character" w:styleId="RientrocorpodeltestoCarattere" w:customStyle="1">
    <w:name w:val="Rientro corpo del testo Carattere"/>
    <w:basedOn w:val="DefaultParagraphFont"/>
    <w:uiPriority w:val="99"/>
    <w:qFormat/>
    <w:rsid w:val="00de5a2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next w:val="Corpodeltesto"/>
    <w:qFormat/>
    <w:pPr>
      <w:keepNext w:val="true"/>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sz w:val="24"/>
      <w:szCs w:val="24"/>
    </w:rPr>
  </w:style>
  <w:style w:type="paragraph" w:styleId="BalloonText">
    <w:name w:val="Balloon Text"/>
    <w:basedOn w:val="Normal"/>
    <w:link w:val="TestofumettoCarattere"/>
    <w:uiPriority w:val="99"/>
    <w:semiHidden/>
    <w:unhideWhenUsed/>
    <w:qFormat/>
    <w:rsid w:val="005558b8"/>
    <w:pPr>
      <w:spacing w:lineRule="auto" w:line="240" w:before="0" w:after="0"/>
    </w:pPr>
    <w:rPr>
      <w:rFonts w:ascii="Tahoma" w:hAnsi="Tahoma" w:cs="Tahoma"/>
      <w:sz w:val="16"/>
      <w:szCs w:val="16"/>
    </w:rPr>
  </w:style>
  <w:style w:type="paragraph" w:styleId="Default" w:customStyle="1">
    <w:name w:val="Default"/>
    <w:qFormat/>
    <w:rsid w:val="00355f96"/>
    <w:pPr>
      <w:widowControl/>
      <w:suppressAutoHyphens w:val="true"/>
      <w:bidi w:val="0"/>
      <w:spacing w:before="0" w:after="0"/>
      <w:jc w:val="left"/>
    </w:pPr>
    <w:rPr>
      <w:rFonts w:ascii="Trebuchet MS" w:hAnsi="Trebuchet MS" w:eastAsia="Calibri" w:cs="Trebuchet MS"/>
      <w:color w:val="000000"/>
      <w:kern w:val="0"/>
      <w:sz w:val="24"/>
      <w:szCs w:val="24"/>
      <w:lang w:val="it-IT" w:eastAsia="en-US" w:bidi="ar-SA"/>
    </w:rPr>
  </w:style>
  <w:style w:type="paragraph" w:styleId="ListParagraph">
    <w:name w:val="List Paragraph"/>
    <w:basedOn w:val="Normal"/>
    <w:uiPriority w:val="34"/>
    <w:qFormat/>
    <w:rsid w:val="00de5a2e"/>
    <w:pPr>
      <w:spacing w:lineRule="auto" w:line="240" w:before="120" w:after="120"/>
      <w:ind w:left="720" w:hanging="0"/>
      <w:contextualSpacing/>
    </w:pPr>
    <w:rPr/>
  </w:style>
  <w:style w:type="paragraph" w:styleId="Rientrocorpodeltesto">
    <w:name w:val="Body Text Indent"/>
    <w:basedOn w:val="Normal"/>
    <w:link w:val="RientrocorpodeltestoCarattere"/>
    <w:uiPriority w:val="99"/>
    <w:unhideWhenUsed/>
    <w:rsid w:val="00de5a2e"/>
    <w:pPr>
      <w:spacing w:lineRule="auto" w:line="240" w:before="120" w:after="120"/>
      <w:ind w:left="283" w:hanging="0"/>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Application>LibreOffice/7.3.2.2$Windows_X86_64 LibreOffice_project/49f2b1bff42cfccbd8f788c8dc32c1c309559be0</Application>
  <AppVersion>15.0000</AppVersion>
  <Pages>2</Pages>
  <Words>597</Words>
  <Characters>3382</Characters>
  <CharactersWithSpaces>3968</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2023-04-24T07:27:00Z</dcterms:created>
  <dc:creator>Gabriella Mancino</dc:creator>
  <dc:description/>
  <dc:language>it-IT</dc:language>
  <cp:lastModifiedBy/>
  <dcterms:modified xsi:type="dcterms:W3CDTF">2023-06-16T13:26:58Z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